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0F63" w14:textId="77777777" w:rsidR="00487618" w:rsidRPr="00E66FB7" w:rsidRDefault="00487618" w:rsidP="00E66FB7">
      <w:pPr>
        <w:spacing w:after="0" w:line="240" w:lineRule="auto"/>
        <w:rPr>
          <w:rFonts w:cstheme="minorHAnsi"/>
        </w:rPr>
      </w:pPr>
    </w:p>
    <w:p w14:paraId="7463FF0F" w14:textId="77777777" w:rsidR="00C60D3D" w:rsidRPr="00FF62E2" w:rsidRDefault="00C60D3D" w:rsidP="00FF62E2">
      <w:pPr>
        <w:pStyle w:val="IntenseQuote"/>
        <w:spacing w:before="0" w:after="0"/>
        <w:rPr>
          <w:i w:val="0"/>
          <w:color w:val="auto"/>
          <w:sz w:val="44"/>
          <w:lang w:val="fr-CA"/>
        </w:rPr>
      </w:pPr>
      <w:r w:rsidRPr="00FF62E2">
        <w:rPr>
          <w:i w:val="0"/>
          <w:color w:val="auto"/>
          <w:sz w:val="44"/>
          <w:lang w:val="fr-CA"/>
        </w:rPr>
        <w:t>Programme de diffusion de la recherche</w:t>
      </w:r>
    </w:p>
    <w:p w14:paraId="3B3CE832" w14:textId="77777777" w:rsidR="00C60D3D" w:rsidRPr="00E66FB7" w:rsidRDefault="00C60D3D" w:rsidP="00E66FB7">
      <w:pPr>
        <w:spacing w:after="0" w:line="240" w:lineRule="auto"/>
        <w:rPr>
          <w:rFonts w:cstheme="minorHAnsi"/>
          <w:lang w:val="fr-CA"/>
        </w:rPr>
      </w:pPr>
    </w:p>
    <w:p w14:paraId="2AA4A8D9" w14:textId="77777777" w:rsidR="00C60D3D" w:rsidRPr="00E66FB7" w:rsidRDefault="00C60D3D" w:rsidP="00E66FB7">
      <w:pPr>
        <w:autoSpaceDE w:val="0"/>
        <w:autoSpaceDN w:val="0"/>
        <w:adjustRightInd w:val="0"/>
        <w:spacing w:after="0" w:line="240" w:lineRule="auto"/>
        <w:jc w:val="both"/>
        <w:rPr>
          <w:rFonts w:cstheme="minorHAnsi"/>
          <w:lang w:val="fr-CA"/>
        </w:rPr>
      </w:pPr>
      <w:r w:rsidRPr="00E66FB7">
        <w:rPr>
          <w:rFonts w:cstheme="minorHAnsi"/>
          <w:lang w:val="fr-CA"/>
        </w:rPr>
        <w:t>Le programme comporte deux volets :</w:t>
      </w:r>
    </w:p>
    <w:p w14:paraId="09EE48C7" w14:textId="77777777" w:rsidR="00C60D3D" w:rsidRPr="00E66FB7" w:rsidRDefault="00C60D3D" w:rsidP="00E66FB7">
      <w:pPr>
        <w:autoSpaceDE w:val="0"/>
        <w:autoSpaceDN w:val="0"/>
        <w:adjustRightInd w:val="0"/>
        <w:spacing w:after="0" w:line="240" w:lineRule="auto"/>
        <w:jc w:val="both"/>
        <w:rPr>
          <w:rFonts w:cstheme="minorHAnsi"/>
          <w:lang w:val="fr-CA"/>
        </w:rPr>
      </w:pPr>
    </w:p>
    <w:p w14:paraId="156AB9C3" w14:textId="77777777" w:rsidR="00C60D3D" w:rsidRPr="00E66FB7" w:rsidRDefault="00C60D3D" w:rsidP="00E66FB7">
      <w:pPr>
        <w:autoSpaceDE w:val="0"/>
        <w:autoSpaceDN w:val="0"/>
        <w:adjustRightInd w:val="0"/>
        <w:spacing w:after="0" w:line="240" w:lineRule="auto"/>
        <w:jc w:val="both"/>
        <w:rPr>
          <w:rFonts w:cstheme="minorHAnsi"/>
          <w:lang w:val="fr-CA"/>
        </w:rPr>
      </w:pPr>
      <w:r w:rsidRPr="00E66FB7">
        <w:rPr>
          <w:rFonts w:cstheme="minorHAnsi"/>
          <w:b/>
          <w:lang w:val="fr-CA"/>
        </w:rPr>
        <w:t>1) Colloques et ateliers sur le campus</w:t>
      </w:r>
      <w:r w:rsidRPr="00E66FB7">
        <w:rPr>
          <w:rFonts w:cstheme="minorHAnsi"/>
          <w:lang w:val="fr-CA"/>
        </w:rPr>
        <w:t>, qui a pour objet de faire avancer la recherche portant sur les domaines d’excellence de l’Université en appuyant les échanges entre les chercheurs, les disciplines et les établissements – la priorité est accordée aux demandes axées sur la diffusion des résultats d’un projet de recherche subventionné.</w:t>
      </w:r>
    </w:p>
    <w:p w14:paraId="3A651B8C" w14:textId="77777777" w:rsidR="00C60D3D" w:rsidRPr="00E66FB7" w:rsidRDefault="00C60D3D" w:rsidP="00E66FB7">
      <w:pPr>
        <w:autoSpaceDE w:val="0"/>
        <w:autoSpaceDN w:val="0"/>
        <w:adjustRightInd w:val="0"/>
        <w:spacing w:after="0" w:line="240" w:lineRule="auto"/>
        <w:jc w:val="both"/>
        <w:rPr>
          <w:rFonts w:cstheme="minorHAnsi"/>
          <w:lang w:val="fr-CA"/>
        </w:rPr>
      </w:pPr>
    </w:p>
    <w:p w14:paraId="53DE9C0E" w14:textId="77777777" w:rsidR="00C60D3D" w:rsidRPr="00E66FB7" w:rsidRDefault="00C60D3D" w:rsidP="00E66FB7">
      <w:pPr>
        <w:autoSpaceDE w:val="0"/>
        <w:autoSpaceDN w:val="0"/>
        <w:adjustRightInd w:val="0"/>
        <w:spacing w:after="0" w:line="240" w:lineRule="auto"/>
        <w:jc w:val="both"/>
        <w:rPr>
          <w:rFonts w:cstheme="minorHAnsi"/>
          <w:lang w:val="fr-CA"/>
        </w:rPr>
      </w:pPr>
      <w:r w:rsidRPr="00E66FB7">
        <w:rPr>
          <w:rFonts w:cstheme="minorHAnsi"/>
          <w:b/>
          <w:lang w:val="fr-CA"/>
        </w:rPr>
        <w:t>2) Création de nouveaux savoirs</w:t>
      </w:r>
      <w:r w:rsidRPr="00E66FB7">
        <w:rPr>
          <w:rFonts w:cstheme="minorHAnsi"/>
          <w:lang w:val="fr-CA"/>
        </w:rPr>
        <w:t>, qui vise à appuyer les activités en lien avec les enjeux sociaux de l’heure et la mobilisation des connaissances – il peut s’agir d’inviter des chercheurs de renom dans le but de développer des projets, des équipes et des centres de recherche, de mettre sur pied des ateliers, des séries de causeries et des causeries en soirées pour la communauté, de faire du réseautage, des échanges et de la co-création des savoirs.</w:t>
      </w:r>
    </w:p>
    <w:p w14:paraId="1E15A8E5" w14:textId="77777777" w:rsidR="00C60D3D" w:rsidRPr="00E66FB7" w:rsidRDefault="00C60D3D" w:rsidP="00E66FB7">
      <w:pPr>
        <w:autoSpaceDE w:val="0"/>
        <w:autoSpaceDN w:val="0"/>
        <w:adjustRightInd w:val="0"/>
        <w:spacing w:after="0" w:line="240" w:lineRule="auto"/>
        <w:jc w:val="both"/>
        <w:rPr>
          <w:rFonts w:cstheme="minorHAnsi"/>
          <w:lang w:val="fr-CA"/>
        </w:rPr>
      </w:pPr>
    </w:p>
    <w:p w14:paraId="3FFD0A92" w14:textId="77777777" w:rsidR="00C60D3D" w:rsidRPr="00E66FB7" w:rsidRDefault="00C60D3D" w:rsidP="00E66FB7">
      <w:pPr>
        <w:autoSpaceDE w:val="0"/>
        <w:autoSpaceDN w:val="0"/>
        <w:adjustRightInd w:val="0"/>
        <w:spacing w:after="0" w:line="240" w:lineRule="auto"/>
        <w:jc w:val="both"/>
        <w:rPr>
          <w:rFonts w:cstheme="minorHAnsi"/>
          <w:i/>
          <w:lang w:val="fr-CA"/>
        </w:rPr>
      </w:pPr>
      <w:r w:rsidRPr="00E66FB7">
        <w:rPr>
          <w:rFonts w:cstheme="minorHAnsi"/>
          <w:lang w:val="fr-CA"/>
        </w:rPr>
        <w:t xml:space="preserve">Pour les deux volets, l’activité peut s’appuyer sur l’utilisation des nouvelles technologies de communication qui rejoignent divers publics de la région ou d’ailleurs intéressés ou engagés dans les enjeux de l’heure en sciences humaines. L’événement vise à assurer de manière concrète la mobilisation des savoirs et le rayonnement de l’expertise du corps professoral auprès des communautés universitaires mais également auprès des décideurs et de la société. Il vise aussi à identifier des enjeux et des domaines émergents qui donneront lieu à des créneaux de recherche, des équipes et des lieux de recherche. </w:t>
      </w:r>
    </w:p>
    <w:p w14:paraId="698B5169" w14:textId="77777777" w:rsidR="00C60D3D" w:rsidRPr="00E66FB7" w:rsidRDefault="00C60D3D" w:rsidP="00E66FB7">
      <w:pPr>
        <w:spacing w:after="0" w:line="240" w:lineRule="auto"/>
        <w:jc w:val="both"/>
        <w:rPr>
          <w:rFonts w:cstheme="minorHAnsi"/>
          <w:lang w:val="fr-CA"/>
        </w:rPr>
      </w:pPr>
    </w:p>
    <w:p w14:paraId="20BF2933" w14:textId="77777777" w:rsidR="00C60D3D" w:rsidRPr="00E66FB7" w:rsidRDefault="00C60D3D" w:rsidP="00E66FB7">
      <w:pPr>
        <w:spacing w:after="0" w:line="240" w:lineRule="auto"/>
        <w:jc w:val="both"/>
        <w:rPr>
          <w:rFonts w:cstheme="minorHAnsi"/>
          <w:lang w:val="fr-CA"/>
        </w:rPr>
      </w:pPr>
      <w:r w:rsidRPr="00E66FB7">
        <w:rPr>
          <w:rFonts w:cstheme="minorHAnsi"/>
          <w:lang w:val="fr-CA"/>
        </w:rPr>
        <w:t>L’octroi se veut une contribution à l’événement qui doit se dérouler sur le campus de l’USP. Les professeurs sont invités à soumettre des demandes à des organismes externes de financement.</w:t>
      </w:r>
    </w:p>
    <w:p w14:paraId="609C4D43" w14:textId="77777777" w:rsidR="00C60D3D" w:rsidRPr="00E66FB7" w:rsidRDefault="00C60D3D" w:rsidP="00E66FB7">
      <w:pPr>
        <w:pStyle w:val="Default"/>
        <w:jc w:val="both"/>
        <w:rPr>
          <w:rFonts w:asciiTheme="minorHAnsi" w:hAnsiTheme="minorHAnsi" w:cstheme="minorHAnsi"/>
          <w:b/>
          <w:color w:val="auto"/>
          <w:sz w:val="22"/>
          <w:szCs w:val="22"/>
          <w:lang w:val="fr-CA"/>
        </w:rPr>
      </w:pPr>
    </w:p>
    <w:tbl>
      <w:tblPr>
        <w:tblStyle w:val="TableGrid"/>
        <w:tblW w:w="0" w:type="auto"/>
        <w:jc w:val="cente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305"/>
        <w:gridCol w:w="1954"/>
      </w:tblGrid>
      <w:tr w:rsidR="00E66FB7" w:rsidRPr="00E66FB7" w14:paraId="6866309E" w14:textId="77777777" w:rsidTr="00494EE7">
        <w:trPr>
          <w:trHeight w:val="189"/>
          <w:jc w:val="center"/>
        </w:trPr>
        <w:tc>
          <w:tcPr>
            <w:tcW w:w="4305" w:type="dxa"/>
            <w:shd w:val="pct25" w:color="auto" w:fill="632423" w:themeFill="accent2" w:themeFillShade="80"/>
          </w:tcPr>
          <w:p w14:paraId="674CE4F8" w14:textId="77777777" w:rsidR="00C60D3D" w:rsidRPr="00E66FB7" w:rsidRDefault="00C60D3D" w:rsidP="00E66FB7">
            <w:pPr>
              <w:pStyle w:val="Default"/>
              <w:jc w:val="center"/>
              <w:rPr>
                <w:rFonts w:asciiTheme="minorHAnsi" w:hAnsiTheme="minorHAnsi" w:cstheme="minorHAnsi"/>
                <w:b/>
                <w:color w:val="auto"/>
                <w:sz w:val="22"/>
                <w:szCs w:val="22"/>
                <w:lang w:val="fr-CA"/>
              </w:rPr>
            </w:pPr>
            <w:r w:rsidRPr="00E66FB7">
              <w:rPr>
                <w:rFonts w:asciiTheme="minorHAnsi" w:hAnsiTheme="minorHAnsi" w:cstheme="minorHAnsi"/>
                <w:b/>
                <w:color w:val="auto"/>
                <w:sz w:val="22"/>
                <w:szCs w:val="22"/>
                <w:lang w:val="fr-CA"/>
              </w:rPr>
              <w:t>Dates limites pour soumettre une demande</w:t>
            </w:r>
          </w:p>
        </w:tc>
        <w:tc>
          <w:tcPr>
            <w:tcW w:w="1954" w:type="dxa"/>
            <w:shd w:val="pct25" w:color="auto" w:fill="632423" w:themeFill="accent2" w:themeFillShade="80"/>
          </w:tcPr>
          <w:p w14:paraId="0BF8F1F0" w14:textId="77777777" w:rsidR="00C60D3D" w:rsidRPr="00E66FB7" w:rsidRDefault="00C60D3D" w:rsidP="00E66FB7">
            <w:pPr>
              <w:pStyle w:val="Default"/>
              <w:jc w:val="center"/>
              <w:rPr>
                <w:rFonts w:asciiTheme="minorHAnsi" w:hAnsiTheme="minorHAnsi" w:cstheme="minorHAnsi"/>
                <w:b/>
                <w:color w:val="auto"/>
                <w:sz w:val="22"/>
                <w:szCs w:val="22"/>
                <w:lang w:val="fr-CA"/>
              </w:rPr>
            </w:pPr>
            <w:r w:rsidRPr="00E66FB7">
              <w:rPr>
                <w:rFonts w:asciiTheme="minorHAnsi" w:hAnsiTheme="minorHAnsi" w:cstheme="minorHAnsi"/>
                <w:b/>
                <w:color w:val="auto"/>
                <w:sz w:val="22"/>
                <w:szCs w:val="22"/>
                <w:lang w:val="fr-CA"/>
              </w:rPr>
              <w:t>Montant maximal</w:t>
            </w:r>
          </w:p>
        </w:tc>
      </w:tr>
      <w:tr w:rsidR="00494EE7" w:rsidRPr="00494EE7" w14:paraId="5EC1AEDC" w14:textId="77777777" w:rsidTr="00494EE7">
        <w:trPr>
          <w:trHeight w:val="246"/>
          <w:jc w:val="center"/>
        </w:trPr>
        <w:tc>
          <w:tcPr>
            <w:tcW w:w="4305" w:type="dxa"/>
          </w:tcPr>
          <w:p w14:paraId="33641296" w14:textId="35E660C0" w:rsidR="00494EE7" w:rsidRPr="00E66FB7" w:rsidRDefault="00494EE7" w:rsidP="0096216F">
            <w:pPr>
              <w:pStyle w:val="Default"/>
              <w:rPr>
                <w:rFonts w:asciiTheme="minorHAnsi" w:hAnsiTheme="minorHAnsi" w:cstheme="minorHAnsi"/>
                <w:color w:val="auto"/>
                <w:sz w:val="22"/>
                <w:szCs w:val="22"/>
                <w:lang w:val="fr-CA"/>
              </w:rPr>
            </w:pPr>
            <w:r>
              <w:rPr>
                <w:rFonts w:asciiTheme="minorHAnsi" w:hAnsiTheme="minorHAnsi"/>
                <w:color w:val="auto"/>
                <w:sz w:val="22"/>
                <w:szCs w:val="22"/>
                <w:lang w:val="fr-CA"/>
              </w:rPr>
              <w:t xml:space="preserve">Concours de l’automne :  </w:t>
            </w:r>
            <w:r w:rsidRPr="00EB0145">
              <w:rPr>
                <w:rFonts w:asciiTheme="minorHAnsi" w:hAnsiTheme="minorHAnsi"/>
                <w:color w:val="auto"/>
                <w:sz w:val="22"/>
                <w:szCs w:val="22"/>
                <w:lang w:val="fr-CA"/>
              </w:rPr>
              <w:t>1</w:t>
            </w:r>
            <w:r w:rsidRPr="00EB0145">
              <w:rPr>
                <w:rFonts w:asciiTheme="minorHAnsi" w:hAnsiTheme="minorHAnsi"/>
                <w:color w:val="auto"/>
                <w:sz w:val="22"/>
                <w:szCs w:val="22"/>
                <w:vertAlign w:val="superscript"/>
                <w:lang w:val="fr-CA"/>
              </w:rPr>
              <w:t>er</w:t>
            </w:r>
            <w:r w:rsidRPr="00EB0145">
              <w:rPr>
                <w:rFonts w:asciiTheme="minorHAnsi" w:hAnsiTheme="minorHAnsi"/>
                <w:color w:val="auto"/>
                <w:sz w:val="22"/>
                <w:szCs w:val="22"/>
                <w:lang w:val="fr-CA"/>
              </w:rPr>
              <w:t xml:space="preserve"> septembre</w:t>
            </w:r>
          </w:p>
        </w:tc>
        <w:tc>
          <w:tcPr>
            <w:tcW w:w="1954" w:type="dxa"/>
            <w:vMerge w:val="restart"/>
            <w:vAlign w:val="center"/>
          </w:tcPr>
          <w:p w14:paraId="2129E1A1" w14:textId="038927B2" w:rsidR="00494EE7" w:rsidRPr="00E66FB7" w:rsidRDefault="00494EE7" w:rsidP="0096216F">
            <w:pPr>
              <w:pStyle w:val="Default"/>
              <w:jc w:val="center"/>
              <w:rPr>
                <w:rFonts w:asciiTheme="minorHAnsi" w:hAnsiTheme="minorHAnsi" w:cstheme="minorHAnsi"/>
                <w:color w:val="auto"/>
                <w:sz w:val="22"/>
                <w:szCs w:val="22"/>
                <w:lang w:val="fr-CA"/>
              </w:rPr>
            </w:pPr>
            <w:r>
              <w:rPr>
                <w:rFonts w:asciiTheme="minorHAnsi" w:hAnsiTheme="minorHAnsi" w:cstheme="minorHAnsi"/>
                <w:color w:val="auto"/>
                <w:sz w:val="22"/>
                <w:szCs w:val="22"/>
                <w:lang w:val="fr-CA"/>
              </w:rPr>
              <w:t>5</w:t>
            </w:r>
            <w:r w:rsidRPr="00E66FB7">
              <w:rPr>
                <w:rFonts w:asciiTheme="minorHAnsi" w:hAnsiTheme="minorHAnsi" w:cstheme="minorHAnsi"/>
                <w:color w:val="auto"/>
                <w:sz w:val="22"/>
                <w:szCs w:val="22"/>
                <w:lang w:val="fr-CA"/>
              </w:rPr>
              <w:t> 000 $</w:t>
            </w:r>
          </w:p>
        </w:tc>
      </w:tr>
      <w:tr w:rsidR="00494EE7" w:rsidRPr="00E66FB7" w14:paraId="1CBC0955" w14:textId="77777777" w:rsidTr="00494EE7">
        <w:trPr>
          <w:trHeight w:val="235"/>
          <w:jc w:val="center"/>
        </w:trPr>
        <w:tc>
          <w:tcPr>
            <w:tcW w:w="4305" w:type="dxa"/>
          </w:tcPr>
          <w:p w14:paraId="475E11CD" w14:textId="2BBAAB41" w:rsidR="00494EE7" w:rsidRPr="00E66FB7" w:rsidRDefault="00494EE7" w:rsidP="0096216F">
            <w:pPr>
              <w:pStyle w:val="Default"/>
              <w:rPr>
                <w:rFonts w:asciiTheme="minorHAnsi" w:hAnsiTheme="minorHAnsi" w:cstheme="minorHAnsi"/>
                <w:color w:val="auto"/>
                <w:sz w:val="22"/>
                <w:szCs w:val="22"/>
                <w:lang w:val="fr-CA"/>
              </w:rPr>
            </w:pPr>
            <w:r>
              <w:rPr>
                <w:rFonts w:asciiTheme="minorHAnsi" w:hAnsiTheme="minorHAnsi"/>
                <w:color w:val="auto"/>
                <w:sz w:val="22"/>
                <w:szCs w:val="22"/>
                <w:lang w:val="fr-CA"/>
              </w:rPr>
              <w:t xml:space="preserve">Concours de l’hiver :          </w:t>
            </w:r>
            <w:r w:rsidRPr="00EB0145">
              <w:rPr>
                <w:rFonts w:asciiTheme="minorHAnsi" w:hAnsiTheme="minorHAnsi"/>
                <w:color w:val="auto"/>
                <w:sz w:val="22"/>
                <w:szCs w:val="22"/>
                <w:lang w:val="fr-CA"/>
              </w:rPr>
              <w:t>1</w:t>
            </w:r>
            <w:r w:rsidRPr="00EB0145">
              <w:rPr>
                <w:rFonts w:asciiTheme="minorHAnsi" w:hAnsiTheme="minorHAnsi"/>
                <w:color w:val="auto"/>
                <w:sz w:val="22"/>
                <w:szCs w:val="22"/>
                <w:vertAlign w:val="superscript"/>
                <w:lang w:val="fr-CA"/>
              </w:rPr>
              <w:t>er</w:t>
            </w:r>
            <w:r w:rsidRPr="00EB0145">
              <w:rPr>
                <w:rFonts w:asciiTheme="minorHAnsi" w:hAnsiTheme="minorHAnsi"/>
                <w:color w:val="auto"/>
                <w:sz w:val="22"/>
                <w:szCs w:val="22"/>
                <w:lang w:val="fr-CA"/>
              </w:rPr>
              <w:t>janvier</w:t>
            </w:r>
          </w:p>
        </w:tc>
        <w:tc>
          <w:tcPr>
            <w:tcW w:w="1954" w:type="dxa"/>
            <w:vMerge/>
          </w:tcPr>
          <w:p w14:paraId="7EDDC42E" w14:textId="38F18C6C" w:rsidR="00494EE7" w:rsidRPr="00E66FB7" w:rsidRDefault="00494EE7" w:rsidP="0096216F">
            <w:pPr>
              <w:pStyle w:val="Default"/>
              <w:jc w:val="center"/>
              <w:rPr>
                <w:rFonts w:asciiTheme="minorHAnsi" w:hAnsiTheme="minorHAnsi" w:cstheme="minorHAnsi"/>
                <w:color w:val="auto"/>
                <w:sz w:val="22"/>
                <w:szCs w:val="22"/>
                <w:lang w:val="fr-CA"/>
              </w:rPr>
            </w:pPr>
          </w:p>
        </w:tc>
      </w:tr>
      <w:tr w:rsidR="00494EE7" w:rsidRPr="00E810E1" w14:paraId="1A73C80A" w14:textId="77777777" w:rsidTr="00494EE7">
        <w:trPr>
          <w:trHeight w:val="246"/>
          <w:jc w:val="center"/>
        </w:trPr>
        <w:tc>
          <w:tcPr>
            <w:tcW w:w="4305" w:type="dxa"/>
          </w:tcPr>
          <w:p w14:paraId="74BEB5A7" w14:textId="07C00F7D" w:rsidR="00494EE7" w:rsidRPr="00E66FB7" w:rsidRDefault="00494EE7" w:rsidP="0096216F">
            <w:pPr>
              <w:pStyle w:val="Default"/>
              <w:rPr>
                <w:rFonts w:asciiTheme="minorHAnsi" w:hAnsiTheme="minorHAnsi" w:cstheme="minorHAnsi"/>
                <w:color w:val="auto"/>
                <w:sz w:val="22"/>
                <w:szCs w:val="22"/>
                <w:lang w:val="fr-CA"/>
              </w:rPr>
            </w:pPr>
            <w:r>
              <w:rPr>
                <w:rFonts w:asciiTheme="minorHAnsi" w:hAnsiTheme="minorHAnsi"/>
                <w:color w:val="auto"/>
                <w:sz w:val="22"/>
                <w:szCs w:val="22"/>
                <w:lang w:val="fr-CA"/>
              </w:rPr>
              <w:t xml:space="preserve">Concours du printemps :   </w:t>
            </w:r>
            <w:r w:rsidRPr="00EB0145">
              <w:rPr>
                <w:rFonts w:asciiTheme="minorHAnsi" w:hAnsiTheme="minorHAnsi"/>
                <w:color w:val="auto"/>
                <w:sz w:val="22"/>
                <w:szCs w:val="22"/>
                <w:lang w:val="fr-CA"/>
              </w:rPr>
              <w:t>1</w:t>
            </w:r>
            <w:r w:rsidRPr="00EB0145">
              <w:rPr>
                <w:rFonts w:asciiTheme="minorHAnsi" w:hAnsiTheme="minorHAnsi"/>
                <w:color w:val="auto"/>
                <w:sz w:val="22"/>
                <w:szCs w:val="22"/>
                <w:vertAlign w:val="superscript"/>
                <w:lang w:val="fr-CA"/>
              </w:rPr>
              <w:t>er</w:t>
            </w:r>
            <w:r w:rsidRPr="00EB0145">
              <w:rPr>
                <w:rFonts w:asciiTheme="minorHAnsi" w:hAnsiTheme="minorHAnsi"/>
                <w:color w:val="auto"/>
                <w:sz w:val="22"/>
                <w:szCs w:val="22"/>
                <w:lang w:val="fr-CA"/>
              </w:rPr>
              <w:t xml:space="preserve"> mai</w:t>
            </w:r>
          </w:p>
        </w:tc>
        <w:tc>
          <w:tcPr>
            <w:tcW w:w="1954" w:type="dxa"/>
            <w:vMerge/>
          </w:tcPr>
          <w:p w14:paraId="534BB536" w14:textId="77777777" w:rsidR="00494EE7" w:rsidRPr="00E66FB7" w:rsidRDefault="00494EE7" w:rsidP="0096216F">
            <w:pPr>
              <w:pStyle w:val="Default"/>
              <w:jc w:val="center"/>
              <w:rPr>
                <w:rFonts w:asciiTheme="minorHAnsi" w:hAnsiTheme="minorHAnsi" w:cstheme="minorHAnsi"/>
                <w:color w:val="auto"/>
                <w:sz w:val="22"/>
                <w:szCs w:val="22"/>
                <w:lang w:val="fr-CA"/>
              </w:rPr>
            </w:pPr>
          </w:p>
        </w:tc>
      </w:tr>
    </w:tbl>
    <w:p w14:paraId="66CDDEEE" w14:textId="77777777" w:rsidR="00C60D3D" w:rsidRPr="0096216F" w:rsidRDefault="00C60D3D" w:rsidP="00E66FB7">
      <w:pPr>
        <w:spacing w:after="0" w:line="240" w:lineRule="auto"/>
        <w:rPr>
          <w:rFonts w:cstheme="minorHAnsi"/>
          <w:lang w:val="fr-CA"/>
        </w:rPr>
      </w:pPr>
    </w:p>
    <w:p w14:paraId="02EE2C41" w14:textId="77777777" w:rsidR="00C60D3D" w:rsidRPr="00E66FB7" w:rsidRDefault="00C60D3D" w:rsidP="00E66FB7">
      <w:pPr>
        <w:pStyle w:val="Default"/>
        <w:tabs>
          <w:tab w:val="left" w:pos="284"/>
          <w:tab w:val="left" w:pos="567"/>
        </w:tabs>
        <w:jc w:val="both"/>
        <w:rPr>
          <w:rFonts w:asciiTheme="minorHAnsi" w:hAnsiTheme="minorHAnsi" w:cstheme="minorHAnsi"/>
          <w:b/>
          <w:color w:val="auto"/>
          <w:sz w:val="22"/>
          <w:szCs w:val="22"/>
          <w:lang w:val="fr-CA"/>
        </w:rPr>
      </w:pPr>
      <w:r w:rsidRPr="00E66FB7">
        <w:rPr>
          <w:rFonts w:asciiTheme="minorHAnsi" w:hAnsiTheme="minorHAnsi" w:cstheme="minorHAnsi"/>
          <w:b/>
          <w:color w:val="auto"/>
          <w:sz w:val="22"/>
          <w:szCs w:val="22"/>
          <w:lang w:val="fr-CA"/>
        </w:rPr>
        <w:t xml:space="preserve">Les critères de sélection </w:t>
      </w:r>
    </w:p>
    <w:p w14:paraId="06245A49"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p>
    <w:p w14:paraId="3BA85D7E" w14:textId="77777777" w:rsidR="005F69E3" w:rsidRPr="00E66FB7" w:rsidRDefault="005F69E3" w:rsidP="002B67D7">
      <w:pPr>
        <w:pStyle w:val="Default"/>
        <w:numPr>
          <w:ilvl w:val="0"/>
          <w:numId w:val="7"/>
        </w:numPr>
        <w:tabs>
          <w:tab w:val="left" w:pos="426"/>
        </w:tabs>
        <w:jc w:val="both"/>
        <w:rPr>
          <w:rFonts w:asciiTheme="minorHAnsi" w:hAnsiTheme="minorHAnsi" w:cstheme="minorHAnsi"/>
          <w:color w:val="auto"/>
          <w:sz w:val="22"/>
          <w:szCs w:val="22"/>
          <w:lang w:val="fr-CA"/>
        </w:rPr>
      </w:pPr>
      <w:r w:rsidRPr="002B67D7">
        <w:rPr>
          <w:rFonts w:asciiTheme="minorHAnsi" w:hAnsiTheme="minorHAnsi" w:cstheme="minorHAnsi"/>
          <w:b/>
          <w:bCs/>
          <w:color w:val="auto"/>
          <w:sz w:val="22"/>
          <w:szCs w:val="22"/>
          <w:lang w:val="fr-CA"/>
        </w:rPr>
        <w:t>Cohérence</w:t>
      </w:r>
      <w:r w:rsidRPr="00E66FB7">
        <w:rPr>
          <w:rFonts w:asciiTheme="minorHAnsi" w:hAnsiTheme="minorHAnsi" w:cstheme="minorHAnsi"/>
          <w:color w:val="auto"/>
          <w:sz w:val="22"/>
          <w:szCs w:val="22"/>
          <w:lang w:val="fr-CA"/>
        </w:rPr>
        <w:t xml:space="preserve"> entre la justification de l’objet de l’atelier de recherche </w:t>
      </w:r>
      <w:r w:rsidR="00DA561C">
        <w:rPr>
          <w:rFonts w:asciiTheme="minorHAnsi" w:hAnsiTheme="minorHAnsi" w:cstheme="minorHAnsi"/>
          <w:color w:val="auto"/>
          <w:sz w:val="22"/>
          <w:szCs w:val="22"/>
          <w:lang w:val="fr-CA"/>
        </w:rPr>
        <w:t>ou du</w:t>
      </w:r>
      <w:r w:rsidR="00BB2773" w:rsidRPr="00E66FB7">
        <w:rPr>
          <w:rFonts w:asciiTheme="minorHAnsi" w:hAnsiTheme="minorHAnsi" w:cstheme="minorHAnsi"/>
          <w:color w:val="auto"/>
          <w:sz w:val="22"/>
          <w:szCs w:val="22"/>
          <w:lang w:val="fr-CA"/>
        </w:rPr>
        <w:t xml:space="preserve"> colloque de recherche </w:t>
      </w:r>
      <w:r w:rsidRPr="00E66FB7">
        <w:rPr>
          <w:rFonts w:asciiTheme="minorHAnsi" w:hAnsiTheme="minorHAnsi" w:cstheme="minorHAnsi"/>
          <w:color w:val="auto"/>
          <w:sz w:val="22"/>
          <w:szCs w:val="22"/>
          <w:lang w:val="fr-CA"/>
        </w:rPr>
        <w:t>et</w:t>
      </w:r>
      <w:r w:rsidR="00BB2773" w:rsidRPr="00E66FB7">
        <w:rPr>
          <w:rFonts w:asciiTheme="minorHAnsi" w:hAnsiTheme="minorHAnsi" w:cstheme="minorHAnsi"/>
          <w:color w:val="auto"/>
          <w:sz w:val="22"/>
          <w:szCs w:val="22"/>
          <w:lang w:val="fr-CA"/>
        </w:rPr>
        <w:t xml:space="preserve"> l’expertise </w:t>
      </w:r>
      <w:r w:rsidRPr="00E66FB7">
        <w:rPr>
          <w:rFonts w:asciiTheme="minorHAnsi" w:hAnsiTheme="minorHAnsi" w:cstheme="minorHAnsi"/>
          <w:color w:val="auto"/>
          <w:sz w:val="22"/>
          <w:szCs w:val="22"/>
          <w:lang w:val="fr-CA"/>
        </w:rPr>
        <w:t>des professeurs invités</w:t>
      </w:r>
      <w:r w:rsidR="00BB2773" w:rsidRPr="00E66FB7">
        <w:rPr>
          <w:rFonts w:asciiTheme="minorHAnsi" w:hAnsiTheme="minorHAnsi" w:cstheme="minorHAnsi"/>
          <w:color w:val="auto"/>
          <w:sz w:val="22"/>
          <w:szCs w:val="22"/>
          <w:lang w:val="fr-CA"/>
        </w:rPr>
        <w:t xml:space="preserve"> de multiples disciplines</w:t>
      </w:r>
      <w:r w:rsidR="00E66FB7" w:rsidRPr="00E66FB7">
        <w:rPr>
          <w:rFonts w:asciiTheme="minorHAnsi" w:hAnsiTheme="minorHAnsi" w:cstheme="minorHAnsi"/>
          <w:color w:val="auto"/>
          <w:sz w:val="22"/>
          <w:szCs w:val="22"/>
          <w:lang w:val="fr-CA"/>
        </w:rPr>
        <w:t>.</w:t>
      </w:r>
    </w:p>
    <w:p w14:paraId="4517735F" w14:textId="77777777" w:rsidR="005F69E3" w:rsidRPr="00E66FB7" w:rsidRDefault="005F69E3" w:rsidP="002B67D7">
      <w:pPr>
        <w:pStyle w:val="Default"/>
        <w:numPr>
          <w:ilvl w:val="0"/>
          <w:numId w:val="7"/>
        </w:numPr>
        <w:tabs>
          <w:tab w:val="left" w:pos="426"/>
        </w:tabs>
        <w:jc w:val="both"/>
        <w:rPr>
          <w:rFonts w:asciiTheme="minorHAnsi" w:hAnsiTheme="minorHAnsi" w:cstheme="minorHAnsi"/>
          <w:color w:val="auto"/>
          <w:sz w:val="22"/>
          <w:szCs w:val="22"/>
          <w:lang w:val="fr-CA"/>
        </w:rPr>
      </w:pPr>
      <w:r w:rsidRPr="002B67D7">
        <w:rPr>
          <w:rFonts w:asciiTheme="minorHAnsi" w:hAnsiTheme="minorHAnsi" w:cstheme="minorHAnsi"/>
          <w:b/>
          <w:bCs/>
          <w:color w:val="auto"/>
          <w:sz w:val="22"/>
          <w:szCs w:val="22"/>
          <w:lang w:val="fr-CA"/>
        </w:rPr>
        <w:t xml:space="preserve">Intégration </w:t>
      </w:r>
      <w:r w:rsidRPr="00E66FB7">
        <w:rPr>
          <w:rFonts w:asciiTheme="minorHAnsi" w:hAnsiTheme="minorHAnsi" w:cstheme="minorHAnsi"/>
          <w:color w:val="auto"/>
          <w:sz w:val="22"/>
          <w:szCs w:val="22"/>
          <w:lang w:val="fr-CA"/>
        </w:rPr>
        <w:t>de professeurs-chercheurs émergents</w:t>
      </w:r>
      <w:r w:rsidR="00BB2773" w:rsidRPr="00E66FB7">
        <w:rPr>
          <w:rFonts w:asciiTheme="minorHAnsi" w:hAnsiTheme="minorHAnsi" w:cstheme="minorHAnsi"/>
          <w:color w:val="auto"/>
          <w:sz w:val="22"/>
          <w:szCs w:val="22"/>
          <w:lang w:val="fr-CA"/>
        </w:rPr>
        <w:t xml:space="preserve">, chercheurs </w:t>
      </w:r>
      <w:r w:rsidRPr="00E66FB7">
        <w:rPr>
          <w:rFonts w:asciiTheme="minorHAnsi" w:hAnsiTheme="minorHAnsi" w:cstheme="minorHAnsi"/>
          <w:color w:val="auto"/>
          <w:sz w:val="22"/>
          <w:szCs w:val="22"/>
          <w:lang w:val="fr-CA"/>
        </w:rPr>
        <w:t xml:space="preserve">établis </w:t>
      </w:r>
      <w:r w:rsidR="00BB2773" w:rsidRPr="00E66FB7">
        <w:rPr>
          <w:rFonts w:asciiTheme="minorHAnsi" w:hAnsiTheme="minorHAnsi" w:cstheme="minorHAnsi"/>
          <w:color w:val="auto"/>
          <w:sz w:val="22"/>
          <w:szCs w:val="22"/>
          <w:lang w:val="fr-CA"/>
        </w:rPr>
        <w:t xml:space="preserve">et étudiants </w:t>
      </w:r>
      <w:r w:rsidRPr="00E66FB7">
        <w:rPr>
          <w:rFonts w:asciiTheme="minorHAnsi" w:hAnsiTheme="minorHAnsi" w:cstheme="minorHAnsi"/>
          <w:color w:val="auto"/>
          <w:sz w:val="22"/>
          <w:szCs w:val="22"/>
          <w:lang w:val="fr-CA"/>
        </w:rPr>
        <w:t>dans la préparation des ateliers, colloques ou autres</w:t>
      </w:r>
      <w:r w:rsidR="00E66FB7" w:rsidRPr="00E66FB7">
        <w:rPr>
          <w:rFonts w:asciiTheme="minorHAnsi" w:hAnsiTheme="minorHAnsi" w:cstheme="minorHAnsi"/>
          <w:color w:val="auto"/>
          <w:sz w:val="22"/>
          <w:szCs w:val="22"/>
          <w:lang w:val="fr-CA"/>
        </w:rPr>
        <w:t>.</w:t>
      </w:r>
    </w:p>
    <w:p w14:paraId="2FB1CE71" w14:textId="77777777" w:rsidR="005F69E3" w:rsidRPr="00E66FB7" w:rsidRDefault="005F69E3" w:rsidP="002B67D7">
      <w:pPr>
        <w:pStyle w:val="Default"/>
        <w:numPr>
          <w:ilvl w:val="0"/>
          <w:numId w:val="7"/>
        </w:numPr>
        <w:tabs>
          <w:tab w:val="left" w:pos="426"/>
        </w:tabs>
        <w:jc w:val="both"/>
        <w:rPr>
          <w:rFonts w:asciiTheme="minorHAnsi" w:hAnsiTheme="minorHAnsi" w:cstheme="minorHAnsi"/>
          <w:color w:val="auto"/>
          <w:sz w:val="22"/>
          <w:szCs w:val="22"/>
          <w:lang w:val="fr-CA"/>
        </w:rPr>
      </w:pPr>
      <w:r w:rsidRPr="002B67D7">
        <w:rPr>
          <w:rFonts w:asciiTheme="minorHAnsi" w:hAnsiTheme="minorHAnsi" w:cstheme="minorHAnsi"/>
          <w:b/>
          <w:bCs/>
          <w:color w:val="auto"/>
          <w:sz w:val="22"/>
          <w:szCs w:val="22"/>
          <w:lang w:val="fr-CA"/>
        </w:rPr>
        <w:t>Réalisations en recherche</w:t>
      </w:r>
      <w:r w:rsidRPr="00E66FB7">
        <w:rPr>
          <w:rFonts w:asciiTheme="minorHAnsi" w:hAnsiTheme="minorHAnsi" w:cstheme="minorHAnsi"/>
          <w:color w:val="auto"/>
          <w:sz w:val="22"/>
          <w:szCs w:val="22"/>
          <w:lang w:val="fr-CA"/>
        </w:rPr>
        <w:t xml:space="preserve"> - CV </w:t>
      </w:r>
      <w:r w:rsidR="00BB2773" w:rsidRPr="00E66FB7">
        <w:rPr>
          <w:rFonts w:asciiTheme="minorHAnsi" w:hAnsiTheme="minorHAnsi" w:cstheme="minorHAnsi"/>
          <w:color w:val="auto"/>
          <w:sz w:val="22"/>
          <w:szCs w:val="22"/>
          <w:lang w:val="fr-CA"/>
        </w:rPr>
        <w:t xml:space="preserve">commun canadien (CCV) ou </w:t>
      </w:r>
      <w:r w:rsidRPr="00E66FB7">
        <w:rPr>
          <w:rFonts w:asciiTheme="minorHAnsi" w:hAnsiTheme="minorHAnsi" w:cstheme="minorHAnsi"/>
          <w:color w:val="auto"/>
          <w:sz w:val="22"/>
          <w:szCs w:val="22"/>
          <w:lang w:val="fr-CA"/>
        </w:rPr>
        <w:t xml:space="preserve">CV du Conseil </w:t>
      </w:r>
      <w:r w:rsidR="00E66FB7" w:rsidRPr="00E66FB7">
        <w:rPr>
          <w:rFonts w:asciiTheme="minorHAnsi" w:hAnsiTheme="minorHAnsi" w:cstheme="minorHAnsi"/>
          <w:color w:val="auto"/>
          <w:sz w:val="22"/>
          <w:szCs w:val="22"/>
          <w:lang w:val="fr-CA"/>
        </w:rPr>
        <w:t>o</w:t>
      </w:r>
      <w:r w:rsidRPr="00E66FB7">
        <w:rPr>
          <w:rFonts w:asciiTheme="minorHAnsi" w:hAnsiTheme="minorHAnsi" w:cstheme="minorHAnsi"/>
          <w:color w:val="auto"/>
          <w:sz w:val="22"/>
          <w:szCs w:val="22"/>
          <w:lang w:val="fr-CA"/>
        </w:rPr>
        <w:t xml:space="preserve">ntarien des </w:t>
      </w:r>
      <w:r w:rsidR="00E66FB7" w:rsidRPr="00E66FB7">
        <w:rPr>
          <w:rFonts w:asciiTheme="minorHAnsi" w:hAnsiTheme="minorHAnsi" w:cstheme="minorHAnsi"/>
          <w:color w:val="auto"/>
          <w:sz w:val="22"/>
          <w:szCs w:val="22"/>
          <w:lang w:val="fr-CA"/>
        </w:rPr>
        <w:t>é</w:t>
      </w:r>
      <w:r w:rsidRPr="00E66FB7">
        <w:rPr>
          <w:rFonts w:asciiTheme="minorHAnsi" w:hAnsiTheme="minorHAnsi" w:cstheme="minorHAnsi"/>
          <w:color w:val="auto"/>
          <w:sz w:val="22"/>
          <w:szCs w:val="22"/>
          <w:lang w:val="fr-CA"/>
        </w:rPr>
        <w:t xml:space="preserve">tudes </w:t>
      </w:r>
      <w:r w:rsidR="00E66FB7" w:rsidRPr="00E66FB7">
        <w:rPr>
          <w:rFonts w:asciiTheme="minorHAnsi" w:hAnsiTheme="minorHAnsi" w:cstheme="minorHAnsi"/>
          <w:color w:val="auto"/>
          <w:sz w:val="22"/>
          <w:szCs w:val="22"/>
          <w:lang w:val="fr-CA"/>
        </w:rPr>
        <w:t>s</w:t>
      </w:r>
      <w:r w:rsidRPr="00E66FB7">
        <w:rPr>
          <w:rFonts w:asciiTheme="minorHAnsi" w:hAnsiTheme="minorHAnsi" w:cstheme="minorHAnsi"/>
          <w:color w:val="auto"/>
          <w:sz w:val="22"/>
          <w:szCs w:val="22"/>
          <w:lang w:val="fr-CA"/>
        </w:rPr>
        <w:t>upérieures (OCGS)</w:t>
      </w:r>
      <w:r w:rsidR="00E66FB7" w:rsidRPr="00E66FB7">
        <w:rPr>
          <w:rFonts w:asciiTheme="minorHAnsi" w:hAnsiTheme="minorHAnsi" w:cstheme="minorHAnsi"/>
          <w:color w:val="auto"/>
          <w:sz w:val="22"/>
          <w:szCs w:val="22"/>
          <w:lang w:val="fr-CA"/>
        </w:rPr>
        <w:t>.</w:t>
      </w:r>
    </w:p>
    <w:p w14:paraId="5349911A" w14:textId="77777777" w:rsidR="005F69E3" w:rsidRPr="00E66FB7" w:rsidRDefault="005F69E3" w:rsidP="00E66FB7">
      <w:pPr>
        <w:pStyle w:val="Default"/>
        <w:tabs>
          <w:tab w:val="left" w:pos="426"/>
        </w:tabs>
        <w:jc w:val="both"/>
        <w:rPr>
          <w:rFonts w:asciiTheme="minorHAnsi" w:hAnsiTheme="minorHAnsi" w:cstheme="minorHAnsi"/>
          <w:color w:val="auto"/>
          <w:sz w:val="22"/>
          <w:szCs w:val="22"/>
          <w:lang w:val="fr-CA"/>
        </w:rPr>
      </w:pPr>
    </w:p>
    <w:p w14:paraId="48507A4C"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 xml:space="preserve">En outre, il est entendu qu’il </w:t>
      </w:r>
      <w:r w:rsidRPr="0052095D">
        <w:rPr>
          <w:rFonts w:asciiTheme="minorHAnsi" w:hAnsiTheme="minorHAnsi" w:cstheme="minorHAnsi"/>
          <w:b/>
          <w:color w:val="auto"/>
          <w:sz w:val="22"/>
          <w:szCs w:val="22"/>
          <w:u w:val="single"/>
          <w:lang w:val="fr-CA"/>
        </w:rPr>
        <w:t>doit</w:t>
      </w:r>
      <w:r w:rsidRPr="00E66FB7">
        <w:rPr>
          <w:rFonts w:asciiTheme="minorHAnsi" w:hAnsiTheme="minorHAnsi" w:cstheme="minorHAnsi"/>
          <w:color w:val="auto"/>
          <w:sz w:val="22"/>
          <w:szCs w:val="22"/>
          <w:lang w:val="fr-CA"/>
        </w:rPr>
        <w:t xml:space="preserve"> y avoir des </w:t>
      </w:r>
      <w:r w:rsidRPr="00F74F91">
        <w:rPr>
          <w:rFonts w:asciiTheme="minorHAnsi" w:hAnsiTheme="minorHAnsi" w:cstheme="minorHAnsi"/>
          <w:b/>
          <w:bCs/>
          <w:color w:val="auto"/>
          <w:sz w:val="22"/>
          <w:szCs w:val="22"/>
          <w:u w:val="single"/>
          <w:lang w:val="fr-CA"/>
        </w:rPr>
        <w:t>frais d’inscriptions aux conférences</w:t>
      </w:r>
      <w:r w:rsidRPr="00E66FB7">
        <w:rPr>
          <w:rFonts w:asciiTheme="minorHAnsi" w:hAnsiTheme="minorHAnsi" w:cstheme="minorHAnsi"/>
          <w:color w:val="auto"/>
          <w:sz w:val="22"/>
          <w:szCs w:val="22"/>
          <w:lang w:val="fr-CA"/>
        </w:rPr>
        <w:t xml:space="preserve"> afin de couvrir une partie des dépenses, minimalement pour couvrir les dépenses d’hospitalité.</w:t>
      </w:r>
    </w:p>
    <w:p w14:paraId="52708602"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p>
    <w:p w14:paraId="7BC6DE4F" w14:textId="77777777" w:rsidR="00C16FF5" w:rsidRDefault="00C16FF5" w:rsidP="00E66FB7">
      <w:pPr>
        <w:pStyle w:val="Default"/>
        <w:jc w:val="both"/>
        <w:rPr>
          <w:rFonts w:asciiTheme="minorHAnsi" w:hAnsiTheme="minorHAnsi" w:cstheme="minorHAnsi"/>
          <w:b/>
          <w:color w:val="auto"/>
          <w:sz w:val="22"/>
          <w:szCs w:val="22"/>
          <w:lang w:val="fr-CA"/>
        </w:rPr>
      </w:pPr>
    </w:p>
    <w:p w14:paraId="41D1D0BF" w14:textId="6FF742B4" w:rsidR="00C60D3D" w:rsidRPr="00E66FB7" w:rsidRDefault="00C60D3D" w:rsidP="00E66FB7">
      <w:pPr>
        <w:pStyle w:val="Default"/>
        <w:jc w:val="both"/>
        <w:rPr>
          <w:rFonts w:asciiTheme="minorHAnsi" w:hAnsiTheme="minorHAnsi" w:cstheme="minorHAnsi"/>
          <w:b/>
          <w:color w:val="auto"/>
          <w:sz w:val="22"/>
          <w:szCs w:val="22"/>
          <w:lang w:val="fr-CA"/>
        </w:rPr>
      </w:pPr>
      <w:r w:rsidRPr="00E66FB7">
        <w:rPr>
          <w:rFonts w:asciiTheme="minorHAnsi" w:hAnsiTheme="minorHAnsi" w:cstheme="minorHAnsi"/>
          <w:b/>
          <w:color w:val="auto"/>
          <w:sz w:val="22"/>
          <w:szCs w:val="22"/>
          <w:lang w:val="fr-CA"/>
        </w:rPr>
        <w:t>Priorité de sélection</w:t>
      </w:r>
    </w:p>
    <w:p w14:paraId="2941F6F2"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p>
    <w:p w14:paraId="62AB674C"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La priorité sera accordée aux conférences et ateliers démontrant :</w:t>
      </w:r>
    </w:p>
    <w:p w14:paraId="64A6B017" w14:textId="77777777" w:rsidR="00C60D3D" w:rsidRPr="00E66FB7" w:rsidRDefault="00C60D3D" w:rsidP="00E66FB7">
      <w:pPr>
        <w:pStyle w:val="Default"/>
        <w:tabs>
          <w:tab w:val="left" w:pos="426"/>
        </w:tabs>
        <w:jc w:val="both"/>
        <w:rPr>
          <w:rFonts w:asciiTheme="minorHAnsi" w:hAnsiTheme="minorHAnsi" w:cstheme="minorHAnsi"/>
          <w:color w:val="auto"/>
          <w:sz w:val="22"/>
          <w:szCs w:val="22"/>
          <w:lang w:val="fr-CA"/>
        </w:rPr>
      </w:pPr>
    </w:p>
    <w:p w14:paraId="69BE4841" w14:textId="77777777" w:rsidR="00C60D3D" w:rsidRPr="00E66FB7" w:rsidRDefault="00C60D3D" w:rsidP="00040844">
      <w:pPr>
        <w:pStyle w:val="Default"/>
        <w:numPr>
          <w:ilvl w:val="0"/>
          <w:numId w:val="11"/>
        </w:numPr>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Un haut niveau de participation étudiante.</w:t>
      </w:r>
    </w:p>
    <w:p w14:paraId="43E6E704" w14:textId="77777777" w:rsidR="00C60D3D" w:rsidRPr="00E66FB7" w:rsidRDefault="00C60D3D" w:rsidP="00040844">
      <w:pPr>
        <w:pStyle w:val="Default"/>
        <w:numPr>
          <w:ilvl w:val="0"/>
          <w:numId w:val="11"/>
        </w:numPr>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Une demande ou l’obtention de financement externe provenant d’une agence avec une évaluation par les pairs.</w:t>
      </w:r>
    </w:p>
    <w:p w14:paraId="0C395288" w14:textId="77777777" w:rsidR="00C60D3D" w:rsidRPr="00E66FB7" w:rsidRDefault="00C60D3D" w:rsidP="00040844">
      <w:pPr>
        <w:pStyle w:val="Default"/>
        <w:numPr>
          <w:ilvl w:val="0"/>
          <w:numId w:val="11"/>
        </w:numPr>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La nature nationale ou internationale de la conférence ou de l’atelier.</w:t>
      </w:r>
    </w:p>
    <w:p w14:paraId="0E1FE93A" w14:textId="77777777" w:rsidR="00C60D3D" w:rsidRPr="00E66FB7" w:rsidRDefault="00C60D3D" w:rsidP="00040844">
      <w:pPr>
        <w:pStyle w:val="Default"/>
        <w:numPr>
          <w:ilvl w:val="0"/>
          <w:numId w:val="11"/>
        </w:numPr>
        <w:tabs>
          <w:tab w:val="left" w:pos="42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Une contribution à renforcer la visibilité de l’Université Saint-Paul, de ses chercheurs et de ses étudiants.</w:t>
      </w:r>
    </w:p>
    <w:p w14:paraId="794303EC" w14:textId="77777777" w:rsidR="00C60D3D" w:rsidRPr="00E66FB7" w:rsidRDefault="00C60D3D" w:rsidP="00E66FB7">
      <w:pPr>
        <w:pStyle w:val="Default"/>
        <w:tabs>
          <w:tab w:val="left" w:pos="426"/>
        </w:tabs>
        <w:ind w:left="360"/>
        <w:jc w:val="both"/>
        <w:rPr>
          <w:rFonts w:asciiTheme="minorHAnsi" w:hAnsiTheme="minorHAnsi" w:cstheme="minorHAnsi"/>
          <w:color w:val="auto"/>
          <w:sz w:val="22"/>
          <w:szCs w:val="22"/>
          <w:lang w:val="fr-CA"/>
        </w:rPr>
      </w:pPr>
    </w:p>
    <w:p w14:paraId="1AFA7B3C" w14:textId="77777777" w:rsidR="00C60D3D" w:rsidRPr="00E66FB7" w:rsidRDefault="00C60D3D" w:rsidP="00E66FB7">
      <w:pPr>
        <w:pStyle w:val="Default"/>
        <w:jc w:val="both"/>
        <w:rPr>
          <w:rFonts w:asciiTheme="minorHAnsi" w:hAnsiTheme="minorHAnsi" w:cstheme="minorHAnsi"/>
          <w:b/>
          <w:color w:val="auto"/>
          <w:sz w:val="22"/>
          <w:szCs w:val="22"/>
          <w:lang w:val="fr-CA"/>
        </w:rPr>
      </w:pPr>
      <w:r w:rsidRPr="00E66FB7">
        <w:rPr>
          <w:rFonts w:asciiTheme="minorHAnsi" w:hAnsiTheme="minorHAnsi" w:cstheme="minorHAnsi"/>
          <w:b/>
          <w:color w:val="auto"/>
          <w:sz w:val="22"/>
          <w:szCs w:val="22"/>
          <w:lang w:val="fr-CA"/>
        </w:rPr>
        <w:t>Frais admissibles</w:t>
      </w:r>
    </w:p>
    <w:p w14:paraId="16566213" w14:textId="77777777" w:rsidR="00C60D3D" w:rsidRPr="00E66FB7" w:rsidRDefault="00C60D3D" w:rsidP="00E66FB7">
      <w:pPr>
        <w:pStyle w:val="Default"/>
        <w:jc w:val="both"/>
        <w:rPr>
          <w:rFonts w:asciiTheme="minorHAnsi" w:hAnsiTheme="minorHAnsi" w:cstheme="minorHAnsi"/>
          <w:b/>
          <w:color w:val="auto"/>
          <w:sz w:val="22"/>
          <w:szCs w:val="22"/>
          <w:lang w:val="fr-CA"/>
        </w:rPr>
      </w:pPr>
    </w:p>
    <w:p w14:paraId="0AFD2C00" w14:textId="1FFE6EED" w:rsidR="00C60D3D" w:rsidRPr="00E66FB7" w:rsidRDefault="00C60D3D" w:rsidP="00040844">
      <w:pPr>
        <w:pStyle w:val="Default"/>
        <w:numPr>
          <w:ilvl w:val="0"/>
          <w:numId w:val="12"/>
        </w:numPr>
        <w:jc w:val="both"/>
        <w:rPr>
          <w:rFonts w:asciiTheme="minorHAnsi" w:hAnsiTheme="minorHAnsi" w:cstheme="minorHAnsi"/>
          <w:b/>
          <w:color w:val="auto"/>
          <w:sz w:val="22"/>
          <w:szCs w:val="22"/>
          <w:lang w:val="fr-CA"/>
        </w:rPr>
      </w:pPr>
      <w:r w:rsidRPr="00E66FB7">
        <w:rPr>
          <w:rFonts w:asciiTheme="minorHAnsi" w:hAnsiTheme="minorHAnsi" w:cstheme="minorHAnsi"/>
          <w:color w:val="auto"/>
          <w:sz w:val="22"/>
          <w:szCs w:val="22"/>
          <w:lang w:val="fr-CA"/>
        </w:rPr>
        <w:t>Un assistanat</w:t>
      </w:r>
      <w:r w:rsidR="00481009">
        <w:rPr>
          <w:rFonts w:asciiTheme="minorHAnsi" w:hAnsiTheme="minorHAnsi" w:cstheme="minorHAnsi"/>
          <w:color w:val="auto"/>
          <w:sz w:val="22"/>
          <w:szCs w:val="22"/>
          <w:lang w:val="fr-CA"/>
        </w:rPr>
        <w:t xml:space="preserve"> de recherche</w:t>
      </w:r>
      <w:r w:rsidRPr="00E66FB7">
        <w:rPr>
          <w:rFonts w:asciiTheme="minorHAnsi" w:hAnsiTheme="minorHAnsi" w:cstheme="minorHAnsi"/>
          <w:color w:val="auto"/>
          <w:sz w:val="22"/>
          <w:szCs w:val="22"/>
          <w:lang w:val="fr-CA"/>
        </w:rPr>
        <w:t>.</w:t>
      </w:r>
    </w:p>
    <w:p w14:paraId="2D8DBF36" w14:textId="77777777" w:rsidR="00C60D3D" w:rsidRPr="00E66FB7" w:rsidRDefault="00C60D3D" w:rsidP="00040844">
      <w:pPr>
        <w:pStyle w:val="Default"/>
        <w:numPr>
          <w:ilvl w:val="0"/>
          <w:numId w:val="12"/>
        </w:numPr>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Les frais de déplacement et de séjour, jugés raisonnables, des conférenciers invités.</w:t>
      </w:r>
    </w:p>
    <w:p w14:paraId="31ED51D6" w14:textId="77777777" w:rsidR="00C60D3D" w:rsidRPr="00E66FB7" w:rsidRDefault="00C60D3D" w:rsidP="00040844">
      <w:pPr>
        <w:pStyle w:val="Default"/>
        <w:numPr>
          <w:ilvl w:val="0"/>
          <w:numId w:val="12"/>
        </w:numPr>
        <w:tabs>
          <w:tab w:val="left" w:pos="127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Les frais de papeterie et de fournitures de bureau.</w:t>
      </w:r>
    </w:p>
    <w:p w14:paraId="786942B3" w14:textId="77777777" w:rsidR="00C60D3D" w:rsidRPr="00E66FB7" w:rsidRDefault="00C60D3D" w:rsidP="00040844">
      <w:pPr>
        <w:pStyle w:val="Default"/>
        <w:numPr>
          <w:ilvl w:val="0"/>
          <w:numId w:val="12"/>
        </w:numPr>
        <w:tabs>
          <w:tab w:val="left" w:pos="1276"/>
        </w:tabs>
        <w:jc w:val="both"/>
        <w:rPr>
          <w:rFonts w:asciiTheme="minorHAnsi" w:hAnsiTheme="minorHAnsi" w:cstheme="minorHAnsi"/>
          <w:color w:val="auto"/>
          <w:sz w:val="22"/>
          <w:szCs w:val="22"/>
          <w:lang w:val="fr-CA"/>
        </w:rPr>
      </w:pPr>
      <w:r w:rsidRPr="00E66FB7">
        <w:rPr>
          <w:rFonts w:asciiTheme="minorHAnsi" w:hAnsiTheme="minorHAnsi" w:cstheme="minorHAnsi"/>
          <w:color w:val="auto"/>
          <w:sz w:val="22"/>
          <w:szCs w:val="22"/>
          <w:lang w:val="fr-CA"/>
        </w:rPr>
        <w:t>La publication de comptes rendus de l’activité.</w:t>
      </w:r>
    </w:p>
    <w:p w14:paraId="7930C390" w14:textId="77777777" w:rsidR="00C60D3D" w:rsidRPr="00E66FB7" w:rsidRDefault="00C60D3D" w:rsidP="00E66FB7">
      <w:pPr>
        <w:pStyle w:val="Default"/>
        <w:jc w:val="both"/>
        <w:rPr>
          <w:rFonts w:asciiTheme="minorHAnsi" w:hAnsiTheme="minorHAnsi" w:cstheme="minorHAnsi"/>
          <w:bCs/>
          <w:color w:val="auto"/>
          <w:sz w:val="22"/>
          <w:szCs w:val="22"/>
          <w:lang w:val="fr-CA"/>
        </w:rPr>
      </w:pPr>
    </w:p>
    <w:p w14:paraId="5ECB52F0" w14:textId="77777777" w:rsidR="00C60D3D" w:rsidRPr="00E66FB7" w:rsidRDefault="00C60D3D" w:rsidP="00E66FB7">
      <w:pPr>
        <w:pStyle w:val="Default"/>
        <w:jc w:val="both"/>
        <w:rPr>
          <w:rFonts w:asciiTheme="minorHAnsi" w:hAnsiTheme="minorHAnsi" w:cstheme="minorHAnsi"/>
          <w:b/>
          <w:bCs/>
          <w:color w:val="auto"/>
          <w:sz w:val="22"/>
          <w:szCs w:val="22"/>
          <w:lang w:val="fr-CA"/>
        </w:rPr>
      </w:pPr>
      <w:r w:rsidRPr="00E66FB7">
        <w:rPr>
          <w:rFonts w:asciiTheme="minorHAnsi" w:hAnsiTheme="minorHAnsi" w:cstheme="minorHAnsi"/>
          <w:b/>
          <w:bCs/>
          <w:color w:val="auto"/>
          <w:sz w:val="22"/>
          <w:szCs w:val="22"/>
          <w:lang w:val="fr-CA"/>
        </w:rPr>
        <w:t>Éléments d’une demande</w:t>
      </w:r>
    </w:p>
    <w:p w14:paraId="3939A31F" w14:textId="77777777" w:rsidR="00C60D3D" w:rsidRPr="00E66FB7" w:rsidRDefault="00C60D3D" w:rsidP="00E66FB7">
      <w:pPr>
        <w:pStyle w:val="Default"/>
        <w:ind w:left="1134" w:firstLine="306"/>
        <w:jc w:val="both"/>
        <w:rPr>
          <w:rFonts w:asciiTheme="minorHAnsi" w:hAnsiTheme="minorHAnsi" w:cstheme="minorHAnsi"/>
          <w:b/>
          <w:bCs/>
          <w:color w:val="auto"/>
          <w:sz w:val="22"/>
          <w:szCs w:val="22"/>
          <w:lang w:val="fr-CA"/>
        </w:rPr>
      </w:pPr>
    </w:p>
    <w:p w14:paraId="73339F3F"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bCs/>
          <w:color w:val="auto"/>
          <w:sz w:val="22"/>
          <w:szCs w:val="22"/>
          <w:lang w:val="fr-CA"/>
        </w:rPr>
        <w:t>Formulaire de demande.</w:t>
      </w:r>
    </w:p>
    <w:p w14:paraId="1E711C90"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bCs/>
          <w:color w:val="auto"/>
          <w:sz w:val="22"/>
          <w:szCs w:val="22"/>
          <w:lang w:val="fr-CA"/>
        </w:rPr>
        <w:t xml:space="preserve">Résumé, thème de l’activité, </w:t>
      </w:r>
      <w:r w:rsidRPr="00E66FB7">
        <w:rPr>
          <w:rFonts w:asciiTheme="minorHAnsi" w:hAnsiTheme="minorHAnsi" w:cstheme="minorHAnsi"/>
          <w:color w:val="auto"/>
          <w:sz w:val="22"/>
          <w:szCs w:val="22"/>
          <w:lang w:val="fr-CA"/>
        </w:rPr>
        <w:t>lien entre la conférence et les domaines de recherche propres à l’Université, le rôle des étudiants aux études supérieures, lien de la demande avec le programme de recherche du chercheur, son bilan de recherche et une éventuelle demande à un organisme de financement externe.</w:t>
      </w:r>
    </w:p>
    <w:p w14:paraId="746190B5"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color w:val="auto"/>
          <w:sz w:val="22"/>
          <w:szCs w:val="22"/>
          <w:lang w:val="fr-CA"/>
        </w:rPr>
        <w:t>Appel des communications.</w:t>
      </w:r>
    </w:p>
    <w:p w14:paraId="5DF96C22"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bCs/>
          <w:color w:val="auto"/>
          <w:sz w:val="22"/>
          <w:szCs w:val="22"/>
          <w:lang w:val="fr-CA"/>
        </w:rPr>
        <w:t>Budget justifié.</w:t>
      </w:r>
    </w:p>
    <w:p w14:paraId="44B64245"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bCs/>
          <w:color w:val="auto"/>
          <w:sz w:val="22"/>
          <w:szCs w:val="22"/>
          <w:lang w:val="fr-CA"/>
        </w:rPr>
        <w:t>Programme : le titre des conférences, la liste des conférenciers d’honneur et des participants.</w:t>
      </w:r>
    </w:p>
    <w:p w14:paraId="1F193CD1" w14:textId="77777777" w:rsidR="00C60D3D" w:rsidRPr="00E66FB7" w:rsidRDefault="00C60D3D" w:rsidP="006A44C1">
      <w:pPr>
        <w:pStyle w:val="Default"/>
        <w:numPr>
          <w:ilvl w:val="0"/>
          <w:numId w:val="10"/>
        </w:numPr>
        <w:jc w:val="both"/>
        <w:rPr>
          <w:rFonts w:asciiTheme="minorHAnsi" w:hAnsiTheme="minorHAnsi" w:cstheme="minorHAnsi"/>
          <w:bCs/>
          <w:color w:val="auto"/>
          <w:sz w:val="22"/>
          <w:szCs w:val="22"/>
          <w:lang w:val="fr-CA"/>
        </w:rPr>
      </w:pPr>
      <w:r w:rsidRPr="00E66FB7">
        <w:rPr>
          <w:rFonts w:asciiTheme="minorHAnsi" w:hAnsiTheme="minorHAnsi" w:cstheme="minorHAnsi"/>
          <w:bCs/>
          <w:color w:val="auto"/>
          <w:sz w:val="22"/>
          <w:szCs w:val="22"/>
          <w:lang w:val="fr-CA"/>
        </w:rPr>
        <w:t>C.V. du professeur.</w:t>
      </w:r>
    </w:p>
    <w:p w14:paraId="263ED90C" w14:textId="77777777" w:rsidR="00C60D3D" w:rsidRPr="00E66FB7" w:rsidRDefault="00C60D3D" w:rsidP="00E66FB7">
      <w:pPr>
        <w:spacing w:after="0" w:line="240" w:lineRule="auto"/>
        <w:jc w:val="both"/>
        <w:rPr>
          <w:rFonts w:cstheme="minorHAnsi"/>
          <w:lang w:val="fr-CA"/>
        </w:rPr>
      </w:pPr>
    </w:p>
    <w:p w14:paraId="541960E6" w14:textId="77777777" w:rsidR="00C60D3D" w:rsidRDefault="00C60D3D" w:rsidP="00E66FB7">
      <w:pPr>
        <w:spacing w:after="0" w:line="240" w:lineRule="auto"/>
        <w:jc w:val="both"/>
        <w:rPr>
          <w:rFonts w:cstheme="minorHAnsi"/>
          <w:lang w:val="fr-CA"/>
        </w:rPr>
      </w:pPr>
      <w:r w:rsidRPr="00E66FB7">
        <w:rPr>
          <w:rFonts w:cstheme="minorHAnsi"/>
          <w:lang w:val="fr-CA"/>
        </w:rPr>
        <w:t>Voir également le document sur les règles générales pour tous les programmes.</w:t>
      </w:r>
    </w:p>
    <w:p w14:paraId="6CA73297" w14:textId="77777777" w:rsidR="00DA561C" w:rsidRPr="00E66FB7" w:rsidRDefault="00DA561C" w:rsidP="00E66FB7">
      <w:pPr>
        <w:spacing w:after="0" w:line="240" w:lineRule="auto"/>
        <w:jc w:val="both"/>
        <w:rPr>
          <w:rFonts w:cstheme="minorHAnsi"/>
          <w:lang w:val="fr-CA"/>
        </w:rPr>
      </w:pPr>
    </w:p>
    <w:sectPr w:rsidR="00DA561C" w:rsidRPr="00E66FB7" w:rsidSect="00E66FB7">
      <w:headerReference w:type="default" r:id="rId7"/>
      <w:footerReference w:type="default" r:id="rId8"/>
      <w:pgSz w:w="12240" w:h="15840"/>
      <w:pgMar w:top="900" w:right="1440" w:bottom="993"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A4F3" w14:textId="77777777" w:rsidR="00DA0468" w:rsidRDefault="00DA0468" w:rsidP="000D7715">
      <w:pPr>
        <w:spacing w:after="0" w:line="240" w:lineRule="auto"/>
      </w:pPr>
      <w:r>
        <w:separator/>
      </w:r>
    </w:p>
  </w:endnote>
  <w:endnote w:type="continuationSeparator" w:id="0">
    <w:p w14:paraId="2012AA75" w14:textId="77777777" w:rsidR="00DA0468" w:rsidRDefault="00DA0468" w:rsidP="000D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5998" w14:textId="77777777" w:rsidR="004272F5" w:rsidRPr="00E810E1" w:rsidRDefault="004272F5">
    <w:pPr>
      <w:pStyle w:val="Footer"/>
      <w:pBdr>
        <w:top w:val="single" w:sz="4" w:space="8" w:color="4F81BD" w:themeColor="accent1"/>
      </w:pBdr>
      <w:tabs>
        <w:tab w:val="clear" w:pos="4680"/>
        <w:tab w:val="clear" w:pos="9360"/>
      </w:tabs>
      <w:spacing w:before="360"/>
      <w:contextualSpacing/>
      <w:jc w:val="right"/>
      <w:rPr>
        <w:noProof/>
        <w:color w:val="404040" w:themeColor="text1" w:themeTint="BF"/>
        <w:lang w:val="fr-CA"/>
      </w:rPr>
    </w:pPr>
    <w:r>
      <w:rPr>
        <w:noProof/>
        <w:color w:val="404040" w:themeColor="text1" w:themeTint="BF"/>
      </w:rPr>
      <w:fldChar w:fldCharType="begin"/>
    </w:r>
    <w:r w:rsidRPr="00E810E1">
      <w:rPr>
        <w:noProof/>
        <w:color w:val="404040" w:themeColor="text1" w:themeTint="BF"/>
        <w:lang w:val="fr-CA"/>
      </w:rPr>
      <w:instrText xml:space="preserve"> PAGE   \* MERGEFORMAT </w:instrText>
    </w:r>
    <w:r>
      <w:rPr>
        <w:noProof/>
        <w:color w:val="404040" w:themeColor="text1" w:themeTint="BF"/>
      </w:rPr>
      <w:fldChar w:fldCharType="separate"/>
    </w:r>
    <w:r w:rsidRPr="00E810E1">
      <w:rPr>
        <w:noProof/>
        <w:color w:val="404040" w:themeColor="text1" w:themeTint="BF"/>
        <w:lang w:val="fr-CA"/>
      </w:rPr>
      <w:t>2</w:t>
    </w:r>
    <w:r>
      <w:rPr>
        <w:noProof/>
        <w:color w:val="404040" w:themeColor="text1" w:themeTint="BF"/>
      </w:rPr>
      <w:fldChar w:fldCharType="end"/>
    </w:r>
  </w:p>
  <w:p w14:paraId="5A26407F" w14:textId="2D843AE5" w:rsidR="00C16FF5" w:rsidRPr="00E810E1" w:rsidRDefault="00E810E1" w:rsidP="00E810E1">
    <w:pPr>
      <w:pStyle w:val="Footer"/>
      <w:rPr>
        <w:color w:val="808080" w:themeColor="background1" w:themeShade="80"/>
        <w:sz w:val="20"/>
        <w:szCs w:val="20"/>
        <w:lang w:val="fr-CA"/>
      </w:rPr>
    </w:pPr>
    <w:r>
      <w:rPr>
        <w:color w:val="808080" w:themeColor="background1" w:themeShade="80"/>
        <w:sz w:val="20"/>
        <w:szCs w:val="20"/>
        <w:lang w:val="fr-CA"/>
      </w:rPr>
      <w:t xml:space="preserve">Programme : </w:t>
    </w:r>
    <w:r>
      <w:rPr>
        <w:color w:val="808080" w:themeColor="background1" w:themeShade="80"/>
        <w:sz w:val="20"/>
        <w:szCs w:val="20"/>
        <w:lang w:val="fr-CA"/>
      </w:rPr>
      <w:t>diffusion de la recherche</w:t>
    </w:r>
    <w:r>
      <w:rPr>
        <w:color w:val="808080" w:themeColor="background1" w:themeShade="80"/>
        <w:sz w:val="20"/>
        <w:szCs w:val="20"/>
        <w:lang w:val="fr-CA"/>
      </w:rPr>
      <w:t xml:space="preserve"> | avril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C28A" w14:textId="77777777" w:rsidR="00DA0468" w:rsidRDefault="00DA0468" w:rsidP="000D7715">
      <w:pPr>
        <w:spacing w:after="0" w:line="240" w:lineRule="auto"/>
      </w:pPr>
      <w:r>
        <w:separator/>
      </w:r>
    </w:p>
  </w:footnote>
  <w:footnote w:type="continuationSeparator" w:id="0">
    <w:p w14:paraId="3DBAC490" w14:textId="77777777" w:rsidR="00DA0468" w:rsidRDefault="00DA0468" w:rsidP="000D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8488" w14:textId="5423C86A" w:rsidR="00C16FF5" w:rsidRDefault="00C16FF5" w:rsidP="00C16FF5">
    <w:pPr>
      <w:pStyle w:val="Header"/>
      <w:jc w:val="center"/>
    </w:pPr>
    <w:r>
      <w:rPr>
        <w:noProof/>
      </w:rPr>
      <w:drawing>
        <wp:inline distT="0" distB="0" distL="0" distR="0" wp14:anchorId="7BCC6A90" wp14:editId="6C211144">
          <wp:extent cx="1009134" cy="1041400"/>
          <wp:effectExtent l="0" t="0" r="698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34" cy="1041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6EC"/>
    <w:multiLevelType w:val="hybridMultilevel"/>
    <w:tmpl w:val="1B804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6641F"/>
    <w:multiLevelType w:val="hybridMultilevel"/>
    <w:tmpl w:val="634610B8"/>
    <w:lvl w:ilvl="0" w:tplc="04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9438A1"/>
    <w:multiLevelType w:val="hybridMultilevel"/>
    <w:tmpl w:val="71F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E6DAC"/>
    <w:multiLevelType w:val="hybridMultilevel"/>
    <w:tmpl w:val="59B62322"/>
    <w:lvl w:ilvl="0" w:tplc="6310EF6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9568BA"/>
    <w:multiLevelType w:val="hybridMultilevel"/>
    <w:tmpl w:val="C8445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118BB"/>
    <w:multiLevelType w:val="hybridMultilevel"/>
    <w:tmpl w:val="C7CEE6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D620B6"/>
    <w:multiLevelType w:val="hybridMultilevel"/>
    <w:tmpl w:val="5930DA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0AA517D"/>
    <w:multiLevelType w:val="hybridMultilevel"/>
    <w:tmpl w:val="B6AA4AA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E46126"/>
    <w:multiLevelType w:val="hybridMultilevel"/>
    <w:tmpl w:val="E8522B2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3F633F"/>
    <w:multiLevelType w:val="hybridMultilevel"/>
    <w:tmpl w:val="C6C6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031C8"/>
    <w:multiLevelType w:val="hybridMultilevel"/>
    <w:tmpl w:val="A0649FE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F8D4CBB"/>
    <w:multiLevelType w:val="hybridMultilevel"/>
    <w:tmpl w:val="6F184CBE"/>
    <w:lvl w:ilvl="0" w:tplc="6310EF6E">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1098619">
    <w:abstractNumId w:val="0"/>
  </w:num>
  <w:num w:numId="2" w16cid:durableId="1792700509">
    <w:abstractNumId w:val="2"/>
  </w:num>
  <w:num w:numId="3" w16cid:durableId="1973975365">
    <w:abstractNumId w:val="9"/>
  </w:num>
  <w:num w:numId="4" w16cid:durableId="850337346">
    <w:abstractNumId w:val="4"/>
  </w:num>
  <w:num w:numId="5" w16cid:durableId="1191332833">
    <w:abstractNumId w:val="6"/>
  </w:num>
  <w:num w:numId="6" w16cid:durableId="2119176191">
    <w:abstractNumId w:val="10"/>
  </w:num>
  <w:num w:numId="7" w16cid:durableId="1210534899">
    <w:abstractNumId w:val="8"/>
  </w:num>
  <w:num w:numId="8" w16cid:durableId="1592858090">
    <w:abstractNumId w:val="7"/>
  </w:num>
  <w:num w:numId="9" w16cid:durableId="1886679989">
    <w:abstractNumId w:val="11"/>
  </w:num>
  <w:num w:numId="10" w16cid:durableId="972249645">
    <w:abstractNumId w:val="3"/>
  </w:num>
  <w:num w:numId="11" w16cid:durableId="1746800135">
    <w:abstractNumId w:val="5"/>
  </w:num>
  <w:num w:numId="12" w16cid:durableId="1256552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1U/dXxvnMBYrbMO6PM2z7XkzPHwNQZmRYtFpbLPn9scyrL+hbI2Hd7EKVeFGzrcirVliKnLxiDFZvejMMarASA==" w:salt="8BliKZO1r5uLLbeSxXsPu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3D"/>
    <w:rsid w:val="00040844"/>
    <w:rsid w:val="000A2211"/>
    <w:rsid w:val="000D7715"/>
    <w:rsid w:val="000E402C"/>
    <w:rsid w:val="001B2314"/>
    <w:rsid w:val="002B67D7"/>
    <w:rsid w:val="00313EC2"/>
    <w:rsid w:val="003C0F5B"/>
    <w:rsid w:val="003E1DBB"/>
    <w:rsid w:val="004272F5"/>
    <w:rsid w:val="00456124"/>
    <w:rsid w:val="00481009"/>
    <w:rsid w:val="00487618"/>
    <w:rsid w:val="00494EE7"/>
    <w:rsid w:val="004E4AAF"/>
    <w:rsid w:val="0052095D"/>
    <w:rsid w:val="0055285D"/>
    <w:rsid w:val="005F67B7"/>
    <w:rsid w:val="005F69E3"/>
    <w:rsid w:val="006058DA"/>
    <w:rsid w:val="00615700"/>
    <w:rsid w:val="006A35B1"/>
    <w:rsid w:val="006A44C1"/>
    <w:rsid w:val="007119AC"/>
    <w:rsid w:val="00722518"/>
    <w:rsid w:val="00780239"/>
    <w:rsid w:val="007D0910"/>
    <w:rsid w:val="0096216F"/>
    <w:rsid w:val="00B56192"/>
    <w:rsid w:val="00B91CFC"/>
    <w:rsid w:val="00BB2773"/>
    <w:rsid w:val="00BE743C"/>
    <w:rsid w:val="00C16FF5"/>
    <w:rsid w:val="00C60D3D"/>
    <w:rsid w:val="00DA0468"/>
    <w:rsid w:val="00DA561C"/>
    <w:rsid w:val="00DF3117"/>
    <w:rsid w:val="00DF5A1D"/>
    <w:rsid w:val="00E66FB7"/>
    <w:rsid w:val="00E810E1"/>
    <w:rsid w:val="00E81F50"/>
    <w:rsid w:val="00E97E43"/>
    <w:rsid w:val="00F010F2"/>
    <w:rsid w:val="00F64EBC"/>
    <w:rsid w:val="00F74F91"/>
    <w:rsid w:val="00F855F5"/>
    <w:rsid w:val="00FF6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06ED"/>
  <w15:docId w15:val="{5B119BD2-7265-4FCE-A1CA-D15C3B67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D3D"/>
    <w:rPr>
      <w:rFonts w:ascii="Tahoma" w:hAnsi="Tahoma" w:cs="Tahoma"/>
      <w:sz w:val="16"/>
      <w:szCs w:val="16"/>
    </w:rPr>
  </w:style>
  <w:style w:type="paragraph" w:styleId="ListParagraph">
    <w:name w:val="List Paragraph"/>
    <w:basedOn w:val="Normal"/>
    <w:uiPriority w:val="34"/>
    <w:qFormat/>
    <w:rsid w:val="00C60D3D"/>
    <w:pPr>
      <w:ind w:left="720"/>
      <w:contextualSpacing/>
    </w:pPr>
    <w:rPr>
      <w:rFonts w:eastAsiaTheme="minorEastAsia"/>
    </w:rPr>
  </w:style>
  <w:style w:type="paragraph" w:customStyle="1" w:styleId="Default">
    <w:name w:val="Default"/>
    <w:rsid w:val="00C60D3D"/>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C60D3D"/>
    <w:pPr>
      <w:spacing w:after="0" w:line="240" w:lineRule="auto"/>
    </w:pPr>
    <w:rPr>
      <w:rFonts w:ascii="Verdana" w:eastAsiaTheme="minorEastAsia" w:hAnsi="Verdana" w:cs="Times New Roman"/>
      <w:color w:val="00000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C60D3D"/>
  </w:style>
  <w:style w:type="paragraph" w:styleId="Header">
    <w:name w:val="header"/>
    <w:basedOn w:val="Normal"/>
    <w:link w:val="HeaderChar"/>
    <w:uiPriority w:val="99"/>
    <w:unhideWhenUsed/>
    <w:rsid w:val="000D7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715"/>
  </w:style>
  <w:style w:type="paragraph" w:styleId="Footer">
    <w:name w:val="footer"/>
    <w:basedOn w:val="Normal"/>
    <w:link w:val="FooterChar"/>
    <w:uiPriority w:val="99"/>
    <w:unhideWhenUsed/>
    <w:qFormat/>
    <w:rsid w:val="000D7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715"/>
  </w:style>
  <w:style w:type="paragraph" w:styleId="IntenseQuote">
    <w:name w:val="Intense Quote"/>
    <w:basedOn w:val="Normal"/>
    <w:next w:val="Normal"/>
    <w:link w:val="IntenseQuoteChar"/>
    <w:uiPriority w:val="30"/>
    <w:qFormat/>
    <w:rsid w:val="00FF62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F62E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1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557</Words>
  <Characters>3177</Characters>
  <Application>Microsoft Office Word</Application>
  <DocSecurity>8</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Kouachi</dc:creator>
  <cp:lastModifiedBy>Mohamed Kouachi</cp:lastModifiedBy>
  <cp:revision>25</cp:revision>
  <cp:lastPrinted>2021-04-12T14:42:00Z</cp:lastPrinted>
  <dcterms:created xsi:type="dcterms:W3CDTF">2021-04-13T14:49:00Z</dcterms:created>
  <dcterms:modified xsi:type="dcterms:W3CDTF">2023-04-11T15:54:00Z</dcterms:modified>
</cp:coreProperties>
</file>